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6776" w14:textId="5DB29175" w:rsidR="003C5D21" w:rsidRDefault="003C5D21" w:rsidP="00D26B34">
      <w:pPr>
        <w:spacing w:line="360" w:lineRule="auto"/>
        <w:jc w:val="both"/>
      </w:pPr>
      <w:r w:rsidRPr="003C5D21">
        <w:t xml:space="preserve">Murray K, Robinson NT. Bacterial profile of high vaginal swabs in patients with preterm </w:t>
      </w:r>
      <w:proofErr w:type="spellStart"/>
      <w:r w:rsidRPr="003C5D21">
        <w:t>prelabor</w:t>
      </w:r>
      <w:proofErr w:type="spellEnd"/>
      <w:r w:rsidRPr="003C5D21">
        <w:t xml:space="preserve"> rupture of membranes at the Queen Elizabeth Hospital, Barbados and implications for antibiotic management. </w:t>
      </w:r>
      <w:proofErr w:type="spellStart"/>
      <w:r w:rsidRPr="003C5D21">
        <w:t>Edorium</w:t>
      </w:r>
      <w:proofErr w:type="spellEnd"/>
      <w:r w:rsidRPr="003C5D21">
        <w:t xml:space="preserve"> J </w:t>
      </w:r>
      <w:proofErr w:type="spellStart"/>
      <w:r w:rsidRPr="003C5D21">
        <w:t>Gynecol</w:t>
      </w:r>
      <w:proofErr w:type="spellEnd"/>
      <w:r w:rsidRPr="003C5D21">
        <w:t xml:space="preserve"> </w:t>
      </w:r>
      <w:proofErr w:type="spellStart"/>
      <w:r w:rsidRPr="003C5D21">
        <w:t>Obstet</w:t>
      </w:r>
      <w:proofErr w:type="spellEnd"/>
      <w:r w:rsidRPr="003C5D21">
        <w:t xml:space="preserve"> 2025;9(2):1–6.</w:t>
      </w:r>
    </w:p>
    <w:sectPr w:rsidR="003C5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21"/>
    <w:rsid w:val="0013709F"/>
    <w:rsid w:val="001E419D"/>
    <w:rsid w:val="003C5D21"/>
    <w:rsid w:val="00603117"/>
    <w:rsid w:val="00A91A38"/>
    <w:rsid w:val="00CC76C2"/>
    <w:rsid w:val="00D26B34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9B8A"/>
  <w15:chartTrackingRefBased/>
  <w15:docId w15:val="{D0BBB987-533C-496E-BF88-FB2BCD28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6</cp:revision>
  <dcterms:created xsi:type="dcterms:W3CDTF">2025-07-22T06:19:00Z</dcterms:created>
  <dcterms:modified xsi:type="dcterms:W3CDTF">2025-07-22T06:21:00Z</dcterms:modified>
</cp:coreProperties>
</file>